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rPr>
      </w:pPr>
      <w:r>
        <w:rPr>
          <w:rFonts w:hint="eastAsia" w:ascii="方正小标宋_GBK" w:hAnsi="方正小标宋_GBK" w:eastAsia="方正小标宋_GBK" w:cs="方正小标宋_GBK"/>
          <w:b w:val="0"/>
          <w:bCs w:val="0"/>
          <w:i w:val="0"/>
          <w:iCs w:val="0"/>
          <w:caps w:val="0"/>
          <w:color w:val="333333"/>
          <w:spacing w:val="0"/>
          <w:sz w:val="44"/>
          <w:szCs w:val="44"/>
          <w:bdr w:val="none" w:color="auto" w:sz="0" w:space="0"/>
          <w:shd w:val="clear" w:fill="FFFFFF"/>
        </w:rPr>
        <w:t>山东省节约用水办法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山东省人民政府令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第311号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《山东省人民政府关于修改〈山东省节约用水办法〉等33件省政府规章的决定》已经2018年1月2日省政府第119次常务会议审议通过，现予公布，自公布之日起施行。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省长龚正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2018年1月24日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山东省人民政府关于修改《山东省节约用水办法》等33件省政府规章的决定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根据中共中央、国务院《关于印发〈法治政府建设实施纲要（2015—2020年）〉的通知》（中发〔2015〕32号）、《国务院办公厅关于进一步做好“放管服”改革涉及的政府规章、规范性文件清理工作的通知》（国办发〔2017〕40号）以及中央关于做好生态文明建设和环境保护规章清理工作的要求，经过对现行有效的省政府规章进行清理，省政府决定对《山东省节约用水办法》等33件省政府规章作如下修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一、山东省节约用水办法（山东省人民政府令第160号）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（一）删去第十二条第三款。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（二）删去第十八条第一款中的“报告书”。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（三）将第三十一条第一款修改为：“违反本办法第十二条规定，未安装计量设施或者计量设施不合格或者运行不正常的，依照《取水许可和水资源费征收管理条例》第五十三条规定处罚。”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山东省节约用水办法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省政府令第160号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第一章</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总则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第一条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为合理开发、有效利用和保护水资源，促进全社会节约用水(以下简称节水)，保障经济与社会可持续发展，根据《中华人民共和国水法》，结合本省实际，制定本办法。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在本省行政区域内从事用水(含取水，下同)和节水管理活动的，必须遵守本办法。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节水应当坚持合理开发、高效利用和统一管理的原则。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县以上水行政主管部门负责本行政区域内节水的统一管理和监督工作。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经贸、建设、质量监督检验等部门应当按照职责分工，做好节水的有关工作。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各级人民政府应当加强节水工作的领导，加大节水资金的投入，建立科学的水价调控机制和节水技术开发推广体系，广泛开展节水宣传教育和科学研究等活动，发展节水型工业、农业和服务业，建立节水型社会。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第六条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各级人民政府应当采取有效措施，涵养水源，防止水体污染和水源枯竭，加大城市污水集中处理力度，提高水资源的可利用率，逐步实现城市污水资源化。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第七条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开发利用水资源应当按照优先利用地表水、积极引用客水、限制开采地下水、鼓励回用再生水和综合利用海水、微咸水、矿坑水的原则，对当地地表水、客水和地下水实行统一调度、合理配置。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第八条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任何单位和个人必须履行节水的义务，并有权对违反节水规定的行为进行举报。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县以上水行政主管部门应当设立并向社会公布举报电话。水行政主管部门接到举报后，应当及时组织处理。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第二章</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用水定额与计划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第九条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用水实行总量控制和定额管理相结合的制度。用水定额应当作为确定用水总量和用水计划的基础。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用水定额由省有关行业主管部门制订，经省水行政主管部门和质量监督检验部门审核同意后，报省人民政府公布执行。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用水定额应当根据水资源供求和社会经济技术条件变化情况定期进行修订。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第十一条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县以上发展计划主管部门应当会同同级水行政主管部门，根据用水定额、经济技术条件以及水量分配方案确定的可供本行政区域使用的水量，制定年度用水计划，对本行政区域的年度用水实行总量控制。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第十二条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用水应当计量，并按照批准的用水计划用水。用水单位和个人应当装置合格的量水计量设施。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城市居民住宅应当分户安装量水计量设施；工业企业的生产用水和生活用水应当分别计量，主要用水车间和用水设备应当单独安装量水计量设施；农业灌溉应当完善量水计量设施，逐步实行计量收费。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用水单位和个人未按规定装置量水计量设施或者未及时更换已损坏的量水计量设施的，按照取水建筑物设计取水能力或者取水设备额定流量全时程运行计算其用水量。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任何单位和个人不得实施危害供水设施和量水计量设施安全的行为。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第十三条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用水实行计量收费和超定额累进加价制度。用水单位和个人应当按照计量值缴纳水资源费和水费。水费的价格标准可以按照用途分类计价。使用公共供水的单位和个人在用水定额范围内用水的，按照规定的价格标准缴纳水费；超定额用水的，按照超定额累进加价制度缴纳水费。超定额累进加价收取的水费，纳入同级财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使用自备水源的单位和个人在用水定额范围内用水的，按照规定的标准缴纳水资源费；超定额用水的，按照超定额累进加价制度缴纳水资源费。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超定额累进加价收取水资源费、水费的具体标准，由省价格、财政部门会同省有关部门另行规定。任何单位不得实行居民生活用水包费制。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第十四条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设区的市人民政府可以制定低于省规定的用水定额，并报省水行政主管部门和有关部门备案。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第三章</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节水措施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第十五条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县以上水行政主管部门应当根据当地水资源条件和社会经济发展水平编制本行政区域的节水规划，征求有关部门意见后，报同级人民政府批准执行。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第十六条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县以上人民政府应当采取措施，扶持节水技术、设备和产品的研究开发、推广和利用，对重点节水技术研究开发项目应当优先列入技术创新计划和科技攻关计划。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第十七条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用水单位和个人应当采用节水型工艺、设备和产品。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禁止生产、销售和使用国家明令淘汰的高耗水工艺、设备和产品。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禁止使用省明令淘汰的高耗水工艺、设备和产品。省明令淘汰的高耗水工艺、设备和产品的具体名录，由省经贸主管部门会同省水行政主管部门和有关主管部门制定并公布。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已安装使用国家和省明令淘汰的高耗水工艺、设备和产品的，使用单位和个人应当在规定时间内更换或者对其进行节水改造。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第十八条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按照国家有关规定，需要申请取水许可的新建、改建、扩建建设项目，应当进行水资源论证。水资源论证报告书应当包括节水的内容。水行政主管部门在审批取水许可时，应当严格控制地下水的开采量。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新建、改建、扩建建设项目应当建设相应的节水设施，提高水的综合利用水平。节水设施应当与主体工程同时设计、同时施工、同时投产使用。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前款规定的建设项目节水设施的建设要求，由省水行政主管部门会同省经贸、建设等有关部门分类制定并公布执行。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第十九条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规划建筑面积和日均用水量超过规定规模的新建宾馆、饭店、住宅小区、机关事业企业单位办公设施和其他建设项目，必须建设中水设施。建设项目竣工验收时，应当有水行政主管部门参加。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已建成的中水设施和其他节水设施应当保持正常运转。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已建成的中水设施和其他节水设施不能保持正常运转的，产权人或其委托的管理单位应当提前向当地水行政主管部门作出说明。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第二十一条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工业用水应当采用先进的技术、工艺和设备，增加水循环次数，提高水的重复利用率。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饮料和其他以水为主要原料的生产企业应当对生产后的尾水进行回收利用，不得直接排放。饮用水生产企业的产水率不得低于规定的原料水比率。具体比率由省经济综合主管部门会同省水行政主管部门制定。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第二十二条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经营洗浴、游泳、水上娱乐业和洗车业的用水单位和个人，必须采取节水措施，并对排放水进行综合利用。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第二十三条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公共供水单位应当加强对供水管网的维护，定期进行管网查漏。公共供水管网漏失率不得高于国家规定的标准；漏失率高于国家规定标准的，公共供水单位应当及时维修和改造。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拥有自备水源的单位，应当采取有效措施，降低供水管网漏失率，保持取水与用水的基本平衡。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第二十四条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园林绿化、环境卫生、洗车业、建筑业应当优先使用劣质水。在接通中水和其他再生水的地区，应当优先使用中水和其他再生水。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第二十五条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城市绿化应当优先选用耐旱型树木、花草。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城市公园和绿化带应当采用喷灌、微灌等节水灌溉方式。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第二十六条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在城市供水管网覆盖区域内，不得为家庭生活等非经营性活动开凿水井。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第二十七条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各级人民政府应当逐步增加农业节水灌溉的投入，大力推行渠道防渗、管道输水灌溉、喷灌、微灌等节水灌溉技术，对灌区进行节水灌溉技术改造，提高农业灌溉用水的利用率。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各级人民政府应当采取有效措施，扶持农业旱作技术和农作物抗旱新品种的研究开发和推广，推动节水型农业的发展。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第二十八条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各级人民政府应当鼓励农民和社会各方，采取多种形式投资发展农业节水灌溉项目。投资发展农业节水灌溉项目的，依法享有国家和省规定的同类投资项目的优惠政策。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第二十九条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使用微咸水、矿坑水等劣质水的，水资源征收标准应当低于优质水的标准；使用中水或者其他再生水的，减收污水处理费。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前款规定的有关费用的收取、减收标准，由价格、财政主管部门会同有关主管部门制定。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沿海地区的人民政府应当制定有关政策，鼓励用水单位对海水进行综合利用。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县级以上人民政府应当将一定比例的水资源费和超定额累进加价收取的水资源费、水费，专项用于节水技术研究、开发、推广和节水设施建设、节水管理及奖励。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第四章</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第三十一条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违反本办法第十二条规定，用水单位和个人未按规定安装量水计量设施的，由县以上水行政主管部门或者城市人民政府确定的部门责令限期改正；逾期未改正的，对非经营性的处1000元以下罚款，对经营性的处5000元以下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违反本办法第十二条第四款规定的，由县以上水行政主管部门或者城市人民政府确定的部门给予警告，责令停止违法行为并赔偿损失，可以并处1万元以下的罚款；构成犯罪的，依法追究刑事责任。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第三十二条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违反本办法第十七条规定，用水单位和个人在生产经营过程中使用省明令淘汰的高耗水工艺、设备和产品的，由县以上经贸主管部门责令停止使用，限期更换或者进行节水改造；逾期未更换或者改造的，处5000元以上3万元以下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第三十三条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违反本办法第十八条、第十九条规定，建设项目的中水设施和其他节水设施未建成或者未达到国家和省规定的要求擅自投入使用的，由县以上水行政主管部门责令停止使用，限期改正，处5万元以上10万元以下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第三十四条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违反本办法第二十一条规定，饮料和其他以水为主要原料的生产企业，将生产后的尾水直接排放或者产水率低于规定的比率的，由县以上水行政主管部门给予警告，责令限期改正；逾期未改正的，按每直接排放一吨尾水或者生产一吨饮用水100元的标准处罚款，但最高不得超过3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第三十五条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违反本办法第十三条第五款或者第二十二条规定的，由县以上水行政主管部门给予警告，责令限期改正；逾期未改正的，处5000元以下罚款。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第三十六条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违反本办法第二十六条规定，用水单位和个人为家庭生活等非经营性活动开凿水井的，由县以上水行政主管部门责令限期拆除取水设施；逾期未拆除的，由水行政主管部门组织拆除，拆除费用由违法责任人承担，可以处200元以下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第三十七条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水行政主管部门和有关部门工作人员，在履行职责过程中玩忽职守、滥用职权、徇私舞弊的，由其所在单位或者有关机关依法给予行政处分；构成犯罪的，依法追究刑事责任。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第五章</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附则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第三十八条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本办法下列用语的含义是：再生水，是指污水和废水经过处理，水质得到改善，回收后可以在一定范围内使用的非饮用水。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中水，是指污水和废水经净化处理后，达到国家《生活杂用水水质标准》或者《工业用水水质标准》，可以在一定范围内重复使用的再生水。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第三十九条</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bookmarkStart w:id="0" w:name="_GoBack"/>
      <w:bookmarkEnd w:id="0"/>
      <w:r>
        <w:rPr>
          <w:rFonts w:hint="eastAsia" w:ascii="仿宋_GB2312" w:hAnsi="仿宋_GB2312" w:eastAsia="仿宋_GB2312" w:cs="仿宋_GB2312"/>
          <w:i w:val="0"/>
          <w:iCs w:val="0"/>
          <w:caps w:val="0"/>
          <w:color w:val="333333"/>
          <w:spacing w:val="0"/>
          <w:sz w:val="32"/>
          <w:szCs w:val="32"/>
          <w:bdr w:val="none" w:color="auto" w:sz="0" w:space="0"/>
          <w:shd w:val="clear" w:fill="FFFFFF"/>
        </w:rPr>
        <w:t>本办法自2003年8月1日起施行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阿里巴巴普惠体 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MGVlN2M1MmUyN2EwZmM2YjVkNjYyNTNkYjFlNGEifQ=="/>
  </w:docVars>
  <w:rsids>
    <w:rsidRoot w:val="414D0413"/>
    <w:rsid w:val="414D0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2022-09-30T07:36:00Z</dcterms:created>
  <dc:creator>李琳</dc:creator>
  <cp:lastModifiedBy>李琳</cp:lastModifiedBy>
  <dcterms:modified xsi:type="dcterms:W3CDTF">2022-09-30T07:38:17Z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65E7C6C1B6EB49B78ABC2F2159B08B1A</vt:lpwstr>
  </property>
</Properties>
</file>